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E LA MADONNA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Don Bosco voglio donarti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tutta l’allegria del mio cuore;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cantare con te, pregare con te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la Madre di Dio, Maria Ausiliatrice.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Mamma, saluterò contento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Madonna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tre volte al giorno.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Ammira i fiori, le stelle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così belle e splendenti,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Dio fa vivere.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madre, umile contadina,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consacró Giovannino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alla Madonna.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Padre coltiverai la fede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tanti ragazzi poveri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sono come fiori sull’altare.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Don Bosco ricevi questo bambino,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regala il tuo affetto,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porta a Dio la sua anima.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Dagli il pane quotidiano,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Dio invia dal cielo.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Lavora buon pastore.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Sei la Madre dell’oratorio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tanto ama i giovani,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proteggici Mamma!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Donaci la forza di amarti,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obbedirti umilmente.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Gesù ci chiama già.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hcnFT+uUOvyNssFi4vVu0ZJqcw==">CgMxLjA4AHIhMUpXeVR0N3JXSUIzV3RtN1V0bHFGQldEU19odzRzLTJw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